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07" w:rsidRDefault="003937A9">
      <w:pPr>
        <w:pStyle w:val="normal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>
            <wp:extent cx="1952625" cy="1066800"/>
            <wp:effectExtent l="0" t="0" r="0" b="0"/>
            <wp:docPr id="1" name="image1.jpg" descr="https://lh4.googleusercontent.com/00RriANBrtRkNNEwyLAHIWhhOCaOX7oXf15MWY42sCPUnjuUYqGkxNaX0bvaSyYAz66DOFNBMSl-rH0nZ7viumlmMSSkEmejpaKxw-fQrdBfRDgYpV_NOS04mO8NvjaBYtDsFlk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4.googleusercontent.com/00RriANBrtRkNNEwyLAHIWhhOCaOX7oXf15MWY42sCPUnjuUYqGkxNaX0bvaSyYAz66DOFNBMSl-rH0nZ7viumlmMSSkEmejpaKxw-fQrdBfRDgYpV_NOS04mO8NvjaBYtDsFlk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2507" w:rsidRDefault="003937A9">
      <w:pPr>
        <w:pStyle w:val="normal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May 2020</w:t>
      </w:r>
    </w:p>
    <w:p w:rsidR="00AA2507" w:rsidRDefault="003937A9">
      <w:pPr>
        <w:pStyle w:val="normal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 CONCERNING CHARTWELLS WORKERS DURING COVID-19 CRISIS</w:t>
      </w:r>
    </w:p>
    <w:p w:rsidR="00AA2507" w:rsidRDefault="003937A9">
      <w:pPr>
        <w:pStyle w:val="normal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RES.01.36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>DePaul is a university driven by our Vincentian Mission which calls us to  advocate and serve for all peoples and communities living on the margins; and,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university’s namesake, St. Vincent de Paul is quoted as saying, “The poor are your master</w:t>
      </w:r>
      <w:r>
        <w:rPr>
          <w:rFonts w:ascii="Times New Roman" w:eastAsia="Times New Roman" w:hAnsi="Times New Roman" w:cs="Times New Roman"/>
          <w:sz w:val="24"/>
          <w:szCs w:val="24"/>
        </w:rPr>
        <w:t>s. You are the servant”, which is something the university should strive to live up to; and,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SGA, through our mission to infuse Vincentian Identity into our work, seek to ground all of our initiatives in the Vincentian question: “what must be done</w:t>
      </w:r>
      <w:r>
        <w:rPr>
          <w:rFonts w:ascii="Times New Roman" w:eastAsia="Times New Roman" w:hAnsi="Times New Roman" w:cs="Times New Roman"/>
          <w:sz w:val="24"/>
          <w:szCs w:val="24"/>
        </w:rPr>
        <w:t>?”;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such, SGA believes the answer to the question is clear: Chartwells workers which play an integral role in the affinity and connection students must be supported by the university; and, 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>40% of Americans are unable to pay for an une</w:t>
      </w:r>
      <w:r>
        <w:rPr>
          <w:rFonts w:ascii="Times New Roman" w:eastAsia="Times New Roman" w:hAnsi="Times New Roman" w:cs="Times New Roman"/>
          <w:sz w:val="24"/>
          <w:szCs w:val="24"/>
        </w:rPr>
        <w:t>xpected expenditure without relying on loans from friends, family, or banking institutions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-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and, 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>unemployment benefits in Illinois are not extended to undocumented immigrants which comprise 24 percent of the immigrant population, including a sig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nificant number of Chartwells workers; and, 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>Chartwells workers are paid close to $14 per hour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most are unable to qualify for unemployment benefits due to legal status; and, 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contract between DePaul University and Chartwells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dining is set to expire in 2022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; and,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>Compass Group, the parent company of Chartwells, is worth $35.5 billion; and,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Chartwells workers working at DePaul have been left with no or limited income since the university’s campuses were tempo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rarily closed due to the COVID-19 crisis; and, 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Chartwells workers have served the DePaul community, especially students, by ensuring that dining services operate properly; and,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>The United Center Ownership, the Chicago Bulls, and the Chic</w:t>
      </w:r>
      <w:r>
        <w:rPr>
          <w:rFonts w:ascii="Times New Roman" w:eastAsia="Times New Roman" w:hAnsi="Times New Roman" w:cs="Times New Roman"/>
          <w:sz w:val="24"/>
          <w:szCs w:val="24"/>
        </w:rPr>
        <w:t>ago Blackhawks promised to pay their workers their original compensation through the remainder of the scheduled season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and, 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Dominican University, a university with a much smaller community than DePaul University, was able to provide and assist </w:t>
      </w:r>
      <w:r>
        <w:rPr>
          <w:rFonts w:ascii="Times New Roman" w:eastAsia="Times New Roman" w:hAnsi="Times New Roman" w:cs="Times New Roman"/>
          <w:sz w:val="24"/>
          <w:szCs w:val="24"/>
        </w:rPr>
        <w:t>dining workers by contributing $10,000 to their employee care fund; and,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>the CEO of Dominican University’s dining company gave up their salary and set up food pantries specifically for the dining workers; and,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>SGA believes it to be the 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imperative for DePaul University to address the issues and demands laid out in this resolution; and, 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 IT RESOLVED,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the DePaul Student Government Association and DePaul Community Accountability Alliance, otherwise known as the Student Coalition, believe that the Chartwells dining workers, laid off due to the COVID-19 pandemic, immediately deserve their full contra</w:t>
      </w:r>
      <w:r>
        <w:rPr>
          <w:rFonts w:ascii="Times New Roman" w:eastAsia="Times New Roman" w:hAnsi="Times New Roman" w:cs="Times New Roman"/>
          <w:sz w:val="24"/>
          <w:szCs w:val="24"/>
        </w:rPr>
        <w:t>cted pay and benefits, to be provided by Chartwells; and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 IT FURTHER RESOLVED, </w:t>
      </w:r>
      <w:r>
        <w:rPr>
          <w:rFonts w:ascii="Times New Roman" w:eastAsia="Times New Roman" w:hAnsi="Times New Roman" w:cs="Times New Roman"/>
          <w:sz w:val="24"/>
          <w:szCs w:val="24"/>
        </w:rPr>
        <w:t>that SGA further demands that DePaul University, as a large client of Chartwells and in support of its dining workers and student interest, insist that Chartwells pay its work</w:t>
      </w:r>
      <w:r>
        <w:rPr>
          <w:rFonts w:ascii="Times New Roman" w:eastAsia="Times New Roman" w:hAnsi="Times New Roman" w:cs="Times New Roman"/>
          <w:sz w:val="24"/>
          <w:szCs w:val="24"/>
        </w:rPr>
        <w:t>ers; and,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 IT FURTHER RESOLVED, </w:t>
      </w:r>
      <w:r>
        <w:rPr>
          <w:rFonts w:ascii="Times New Roman" w:eastAsia="Times New Roman" w:hAnsi="Times New Roman" w:cs="Times New Roman"/>
          <w:sz w:val="24"/>
          <w:szCs w:val="24"/>
        </w:rPr>
        <w:t>that SGA calls upon DePaul University to pay the Chartwells dining workers directly,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case that Chartwells decides not to provide its workers with their full contracted pay and benefits; and,  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 IT FURTHER RESOLVED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that SGA emphasizes that DePaul take into consideration, with the highest level of scrutiny, Chartwells’ treatment of its workers during a global pandemic, especially with the contract set to expire within the next two years; and,</w:t>
      </w:r>
    </w:p>
    <w:p w:rsidR="00AA2507" w:rsidRDefault="003937A9">
      <w:pPr>
        <w:pStyle w:val="normal0"/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 IT FURTHER RESOLVED,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SGA places an ultimatum on DePaul University to respond directly to the Student Government Association and the DePaul Community Accountability Alliance regarding the demands laid out in this resolution.</w:t>
      </w:r>
    </w:p>
    <w:p w:rsidR="00AA2507" w:rsidRDefault="00AA2507">
      <w:pPr>
        <w:pStyle w:val="normal0"/>
      </w:pPr>
    </w:p>
    <w:sectPr w:rsidR="00AA2507" w:rsidSect="00AA2507">
      <w:pgSz w:w="12240" w:h="15840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AA2507" w:rsidRDefault="003937A9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U.S. Federal Reserve System, 2018, Repor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on the Economic Well-Being of U.S. Households. 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Link.</w:t>
        </w:r>
      </w:hyperlink>
    </w:p>
  </w:footnote>
  <w:footnote w:id="0">
    <w:p w:rsidR="00AA2507" w:rsidRDefault="003937A9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Chicago Tribune, April 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2020, “‘We just got laid off out of nowhere’…” </w:t>
      </w:r>
      <w:hyperlink r:id="rId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Link.</w:t>
        </w:r>
      </w:hyperlink>
    </w:p>
  </w:footnote>
  <w:footnote w:id="1">
    <w:p w:rsidR="00AA2507" w:rsidRDefault="003937A9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14East Magazine, April 30, 2020, “Will Chart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wells Cater to Employees During Coronavirus.” </w:t>
      </w:r>
      <w:hyperlink r:id="rId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Link.</w:t>
        </w:r>
      </w:hyperlink>
    </w:p>
  </w:footnote>
  <w:footnote w:id="2">
    <w:p w:rsidR="00AA2507" w:rsidRDefault="003937A9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Chicago Business, March 14, 2020, “Bulls, Blackhawks owners paying United Center staff for missed games.” </w:t>
      </w:r>
      <w:hyperlink r:id="rId4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Link.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A2507"/>
    <w:rsid w:val="003937A9"/>
    <w:rsid w:val="00AA250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A25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A25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A25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A25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A250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A25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AA2507"/>
  </w:style>
  <w:style w:type="paragraph" w:styleId="Title">
    <w:name w:val="Title"/>
    <w:basedOn w:val="normal0"/>
    <w:next w:val="normal0"/>
    <w:rsid w:val="00AA250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A250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ourteeneastmag.com/index.php/2020/04/30/will-chartwells-cater-to-employees-during-coronavirus/" TargetMode="External"/><Relationship Id="rId4" Type="http://schemas.openxmlformats.org/officeDocument/2006/relationships/hyperlink" Target="https://www.chicagobusiness.com/news/bulls-blackhawks-owners-paying-united-center-staff-missed-games" TargetMode="External"/><Relationship Id="rId1" Type="http://schemas.openxmlformats.org/officeDocument/2006/relationships/hyperlink" Target="https://www.federalreserve.gov/publications/files/2018-report-economic-well-being-us-households-201905.pdf" TargetMode="External"/><Relationship Id="rId2" Type="http://schemas.openxmlformats.org/officeDocument/2006/relationships/hyperlink" Target="https://www.chicagotribune.com/coronavirus/ct-coronavirus-illinois-college-dining-hall-workers-20200403-iywwdme4efcidehxy3elg3vwxm-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3097</Characters>
  <Application>Microsoft Macintosh Word</Application>
  <DocSecurity>0</DocSecurity>
  <Lines>25</Lines>
  <Paragraphs>6</Paragraphs>
  <ScaleCrop>false</ScaleCrop>
  <Company>Janson Percussion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Janicki</cp:lastModifiedBy>
  <cp:revision>2</cp:revision>
  <dcterms:created xsi:type="dcterms:W3CDTF">2020-05-09T04:43:00Z</dcterms:created>
  <dcterms:modified xsi:type="dcterms:W3CDTF">2020-05-09T04:43:00Z</dcterms:modified>
</cp:coreProperties>
</file>